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rdbvau"/>
        <w:numPr/>
        <w:pBdr/>
        <w:jc w:val="center"/>
        <w:rPr>
          <w:color w:val="000000"/>
        </w:rPr>
      </w:pPr>
      <w:r>
        <w:rPr>
          <w:color w:val="000000"/>
        </w:rPr>
        <w:t>2024 CEIT队伍手册</w:t>
      </w:r>
    </w:p>
    <w:p>
      <w:pPr>
        <w:pStyle w:val="ablt93"/>
        <w:pBdr/>
        <w:jc w:val="right"/>
        <w:rPr>
          <w:color w:val="000000"/>
        </w:rPr>
      </w:pPr>
      <w:r>
        <w:rPr>
          <w:color w:val="000000"/>
        </w:rPr>
        <w:t>20240828 Version 1.0</w:t>
      </w:r>
    </w:p>
    <w:p>
      <w:pPr>
        <w:pStyle w:val="ablt93"/>
        <w:pBdr/>
        <w:jc w:val="center"/>
        <w:rPr/>
      </w:pPr>
    </w:p>
    <w:p>
      <w:pPr>
        <w:pStyle w:val="ablt93"/>
        <w:jc w:val="center"/>
        <w:rPr>
          <w:color w:val="000000"/>
        </w:rPr>
      </w:pPr>
    </w:p>
    <w:p>
      <w:pPr>
        <w:numPr>
          <w:ilvl w:val="0"/>
          <w:numId w:val="1"/>
        </w:numPr>
        <w:pBdr/>
        <w:snapToGrid/>
        <w:spacing w:line="240" w:lineRule="auto"/>
        <w:ind/>
        <w:rPr>
          <w:b/>
          <w:color w:val="000000"/>
          <w:kern w:val="2"/>
          <w:sz w:val="24"/>
          <w:szCs w:val="22"/>
        </w:rPr>
      </w:pPr>
      <w:r>
        <w:rPr>
          <w:b/>
          <w:color w:val="000000"/>
          <w:kern w:val="2"/>
          <w:sz w:val="24"/>
          <w:szCs w:val="22"/>
        </w:rPr>
        <w:t>名单规则</w:t>
      </w:r>
    </w:p>
    <w:p>
      <w:pPr>
        <w:numPr/>
        <w:pBdr/>
        <w:snapToGrid/>
        <w:spacing w:line="240" w:lineRule="auto"/>
        <w:ind w:left="336"/>
        <w:rPr>
          <w:b w:val="false"/>
          <w:color w:val="000000"/>
          <w:kern w:val="2"/>
          <w:sz w:val="22"/>
          <w:szCs w:val="22"/>
        </w:rPr>
      </w:pPr>
      <w:r>
        <w:rPr>
          <w:b w:val="false"/>
          <w:color w:val="000000"/>
          <w:kern w:val="2"/>
          <w:sz w:val="22"/>
          <w:szCs w:val="22"/>
        </w:rPr>
        <w:t>CEIT队伍名单分为赛季名单和赛事名单。</w:t>
      </w:r>
    </w:p>
    <w:p>
      <w:pPr>
        <w:numPr>
          <w:ilvl w:val="0"/>
          <w:numId w:val="2"/>
        </w:numPr>
        <w:pBdr/>
        <w:snapToGrid/>
        <w:spacing w:line="240" w:lineRule="auto"/>
        <w:ind/>
        <w:rPr>
          <w:b w:val="false"/>
          <w:color w:val="000000"/>
          <w:kern w:val="2"/>
          <w:sz w:val="22"/>
          <w:szCs w:val="22"/>
        </w:rPr>
      </w:pPr>
      <w:r>
        <w:rPr>
          <w:b/>
          <w:color w:val="000000"/>
          <w:kern w:val="2"/>
          <w:sz w:val="22"/>
          <w:szCs w:val="22"/>
        </w:rPr>
        <w:t>赛季名单</w:t>
      </w:r>
      <w:r>
        <w:rPr>
          <w:b w:val="false"/>
          <w:color w:val="000000"/>
          <w:kern w:val="2"/>
          <w:sz w:val="22"/>
          <w:szCs w:val="22"/>
        </w:rPr>
        <w:t>：即为本赛季该队伍的完整名单。</w:t>
      </w:r>
    </w:p>
    <w:p>
      <w:pPr>
        <w:numPr/>
        <w:pBdr/>
        <w:snapToGrid/>
        <w:spacing w:line="240" w:lineRule="auto"/>
        <w:ind w:left="480"/>
        <w:rPr>
          <w:b w:val="false"/>
          <w:color w:val="000000"/>
          <w:kern w:val="2"/>
          <w:sz w:val="22"/>
          <w:szCs w:val="22"/>
          <w:shd w:val="clear" w:color="auto" w:fill="FFFF00"/>
        </w:rPr>
      </w:pPr>
      <w:r>
        <w:rPr>
          <w:b w:val="false"/>
          <w:color w:val="000000"/>
          <w:kern w:val="2"/>
          <w:sz w:val="22"/>
          <w:szCs w:val="22"/>
        </w:rPr>
        <w:t>（1）在赛季开始前（即2024.08.31前），按照</w:t>
      </w:r>
      <w:r>
        <w:rPr>
          <w:b w:val="false"/>
          <w:color w:val="000000"/>
          <w:kern w:val="2"/>
          <w:sz w:val="22"/>
          <w:szCs w:val="22"/>
        </w:rPr>
        <w:t>CEIT</w:t>
      </w:r>
      <w:r>
        <w:rPr>
          <w:b w:val="false"/>
          <w:color w:val="000000"/>
          <w:kern w:val="2"/>
          <w:sz w:val="22"/>
          <w:szCs w:val="22"/>
        </w:rPr>
        <w:t>要求完成名单注册。2024.08.31之后，除非遇不可抗力并经CEIT委员会批准，否则无法更改。名单注册流程指引请参见本文件附件1《CE</w:t>
      </w:r>
      <w:r>
        <w:rPr>
          <w:b w:val="false"/>
          <w:color w:val="000000"/>
          <w:kern w:val="2"/>
          <w:sz w:val="22"/>
          <w:szCs w:val="22"/>
          <w:shd w:val="clear" w:color="auto" w:fill="auto"/>
        </w:rPr>
        <w:t>IT队伍名单注册指引》。</w:t>
      </w:r>
    </w:p>
    <w:p>
      <w:pPr>
        <w:numPr/>
        <w:snapToGrid/>
        <w:spacing w:line="240" w:lineRule="auto"/>
        <w:ind w:left="480"/>
        <w:rPr>
          <w:b w:val="false"/>
          <w:color w:val="000000"/>
          <w:kern w:val="2"/>
          <w:sz w:val="22"/>
          <w:szCs w:val="22"/>
          <w:shd w:val="clear" w:color="auto" w:fill="FFFF00"/>
        </w:rPr>
      </w:pPr>
      <w:r>
        <w:rPr>
          <w:b w:val="false"/>
          <w:color w:val="000000"/>
          <w:kern w:val="2"/>
          <w:sz w:val="22"/>
          <w:szCs w:val="22"/>
        </w:rPr>
        <w:t>（2）在该赛季中注册在某一CEIT队伍下的选手，于本赛季中不能再加入其他CEIT队伍参与CEIT赛事。</w:t>
      </w:r>
    </w:p>
    <w:p>
      <w:pPr>
        <w:numPr/>
        <w:pBdr>
          <w:bottom/>
        </w:pBdr>
        <w:snapToGrid/>
        <w:spacing w:line="240" w:lineRule="auto"/>
        <w:ind w:left="480"/>
        <w:rPr>
          <w:b w:val="false"/>
          <w:color w:val="000000"/>
          <w:kern w:val="2"/>
          <w:sz w:val="22"/>
          <w:szCs w:val="22"/>
          <w:shd w:val="clear" w:color="auto" w:fill="FFFF00"/>
        </w:rPr>
      </w:pPr>
      <w:r>
        <w:rPr>
          <w:b w:val="false"/>
          <w:color w:val="000000"/>
          <w:kern w:val="2"/>
          <w:sz w:val="22"/>
          <w:szCs w:val="22"/>
        </w:rPr>
        <w:t>（3）赛季名单注册必须满足以下要求：</w:t>
      </w:r>
    </w:p>
    <w:p>
      <w:pPr>
        <w:numPr>
          <w:ilvl w:val="0"/>
          <w:numId w:val="3"/>
        </w:numPr>
        <w:snapToGrid/>
        <w:spacing w:line="240"/>
        <w:ind/>
        <w:rPr>
          <w:color w:val="000000"/>
        </w:rPr>
      </w:pPr>
      <w:r>
        <w:rPr>
          <w:i w:val="false"/>
          <w:strike w:val="false"/>
          <w:color w:val="000000"/>
          <w:spacing w:val="0"/>
          <w:u w:val="none"/>
        </w:rPr>
        <w:t>每个队的赛季名单至少需要有6个男生和6个女生</w:t>
      </w:r>
    </w:p>
    <w:p>
      <w:pPr>
        <w:numPr>
          <w:ilvl w:val="0"/>
          <w:numId w:val="3"/>
        </w:numPr>
        <w:snapToGrid/>
        <w:spacing w:line="240"/>
        <w:ind/>
        <w:rPr>
          <w:color w:val="000000"/>
        </w:rPr>
      </w:pPr>
      <w:r>
        <w:rPr>
          <w:i w:val="false"/>
          <w:strike w:val="false"/>
          <w:color w:val="000000"/>
          <w:spacing w:val="0"/>
          <w:u w:val="none"/>
        </w:rPr>
        <w:t>每个队的赛季名单最多只能有36个选手（即赛季初的队伍名单注册）,赛季名单一旦完成注册，</w:t>
      </w:r>
      <w:r>
        <w:rPr>
          <w:b w:val="false"/>
          <w:color w:val="000000"/>
          <w:kern w:val="2"/>
          <w:sz w:val="22"/>
          <w:szCs w:val="22"/>
        </w:rPr>
        <w:t>除非遇不可抗力并经CEIT委员会批准，否则</w:t>
      </w:r>
      <w:r>
        <w:rPr>
          <w:i w:val="false"/>
          <w:strike w:val="false"/>
          <w:color w:val="000000"/>
          <w:spacing w:val="0"/>
          <w:u w:val="none"/>
        </w:rPr>
        <w:t>无法更改。</w:t>
      </w:r>
    </w:p>
    <w:p>
      <w:pPr>
        <w:numPr>
          <w:ilvl w:val="0"/>
          <w:numId w:val="4"/>
        </w:numPr>
        <w:pBdr/>
        <w:snapToGrid/>
        <w:spacing w:line="240" w:lineRule="auto"/>
        <w:ind/>
        <w:rPr>
          <w:b w:val="false"/>
          <w:color w:val="000000"/>
          <w:kern w:val="2"/>
          <w:sz w:val="22"/>
          <w:szCs w:val="22"/>
        </w:rPr>
      </w:pPr>
      <w:r>
        <w:rPr>
          <w:b/>
          <w:color w:val="000000"/>
          <w:kern w:val="2"/>
          <w:sz w:val="22"/>
          <w:szCs w:val="22"/>
        </w:rPr>
        <w:t>赛事名单</w:t>
      </w:r>
      <w:r>
        <w:rPr>
          <w:b w:val="false"/>
          <w:color w:val="000000"/>
          <w:kern w:val="2"/>
          <w:sz w:val="22"/>
          <w:szCs w:val="22"/>
        </w:rPr>
        <w:t>：即该队伍参加CEIT赛事时队伍的参赛名单。</w:t>
      </w:r>
    </w:p>
    <w:p>
      <w:pPr>
        <w:numPr/>
        <w:pBdr/>
        <w:snapToGrid/>
        <w:spacing w:line="240" w:lineRule="auto"/>
        <w:ind w:left="776"/>
        <w:rPr>
          <w:b w:val="false"/>
          <w:color w:val="000000"/>
          <w:kern w:val="2"/>
          <w:sz w:val="22"/>
          <w:szCs w:val="22"/>
        </w:rPr>
      </w:pPr>
      <w:r>
        <w:rPr>
          <w:b w:val="false"/>
          <w:color w:val="000000"/>
          <w:kern w:val="2"/>
          <w:sz w:val="22"/>
          <w:szCs w:val="22"/>
        </w:rPr>
        <w:t>（1）赛事名单选手应来自队伍的赛季名单。</w:t>
      </w:r>
    </w:p>
    <w:p>
      <w:pPr>
        <w:numPr/>
        <w:pBdr/>
        <w:snapToGrid/>
        <w:spacing w:line="240" w:lineRule="auto"/>
        <w:ind w:left="776"/>
        <w:rPr>
          <w:b w:val="false"/>
          <w:color w:val="000000"/>
          <w:kern w:val="2"/>
          <w:sz w:val="22"/>
          <w:szCs w:val="22"/>
        </w:rPr>
      </w:pPr>
      <w:r>
        <w:rPr>
          <w:b w:val="false"/>
          <w:color w:val="000000"/>
          <w:kern w:val="2"/>
          <w:sz w:val="22"/>
          <w:szCs w:val="22"/>
        </w:rPr>
        <w:t>（2）赛事名单应当满足以下要求：</w:t>
      </w:r>
    </w:p>
    <w:p>
      <w:pPr>
        <w:numPr>
          <w:ilvl w:val="0"/>
          <w:numId w:val="5"/>
        </w:numPr>
        <w:pBdr/>
        <w:snapToGrid/>
        <w:spacing w:line="240" w:lineRule="auto"/>
        <w:ind/>
        <w:rPr>
          <w:i w:val="false"/>
          <w:strike w:val="false"/>
          <w:color w:val="000000"/>
          <w:spacing w:val="0"/>
          <w:u w:val="none"/>
        </w:rPr>
      </w:pPr>
      <w:r>
        <w:rPr>
          <w:i w:val="false"/>
          <w:strike w:val="false"/>
          <w:color w:val="000000"/>
          <w:spacing w:val="0"/>
          <w:u w:val="none"/>
        </w:rPr>
        <w:t>每个队的赛事名单至少需要有14个选手</w:t>
      </w:r>
    </w:p>
    <w:p>
      <w:pPr>
        <w:numPr>
          <w:ilvl w:val="0"/>
          <w:numId w:val="5"/>
        </w:numPr>
        <w:pBdr>
          <w:bottom/>
        </w:pBdr>
        <w:snapToGrid/>
        <w:spacing w:line="240" w:lineRule="auto"/>
        <w:ind/>
        <w:rPr>
          <w:color w:val="000000"/>
        </w:rPr>
      </w:pPr>
      <w:r>
        <w:rPr>
          <w:i w:val="false"/>
          <w:strike w:val="false"/>
          <w:color w:val="000000"/>
          <w:spacing w:val="0"/>
          <w:u w:val="none"/>
        </w:rPr>
        <w:t>每个队的赛事名单最多只能有28个选手</w:t>
      </w:r>
    </w:p>
    <w:p>
      <w:pPr>
        <w:numPr>
          <w:ilvl w:val="0"/>
          <w:numId w:val="5"/>
        </w:numPr>
        <w:pBdr>
          <w:bottom/>
        </w:pBdr>
        <w:snapToGrid/>
        <w:spacing w:line="240" w:lineRule="auto"/>
        <w:ind/>
        <w:rPr>
          <w:b w:val="false"/>
          <w:color w:val="000000"/>
          <w:kern w:val="2"/>
          <w:sz w:val="22"/>
          <w:szCs w:val="22"/>
        </w:rPr>
      </w:pPr>
      <w:r>
        <w:rPr>
          <w:i w:val="false"/>
          <w:strike w:val="false"/>
          <w:color w:val="000000"/>
          <w:spacing w:val="0"/>
          <w:u w:val="none"/>
        </w:rPr>
        <w:t>每个队伍每次比赛的赛事名单允许使用1个pickup选手，即非注册在队伍赛季名单里的选手。（当然，不能pickup其他CEIT队伍赛季名单里的选手）。并且请理解，我们设定1个pickup的规则的宗旨是为了支持队伍管理和发展，该pickup名额应当仅在队伍的赛季名单中的选手面临伤病、工作等无法克服的客观困难导致队伍选手能够参赛的人数严重不足时才予以使用。我们相信各位队长和所有选手的诚信与初衷</w:t>
      </w:r>
      <w:r>
        <w:rPr>
          <w:b w:val="false"/>
          <w:color w:val="000000"/>
          <w:kern w:val="2"/>
          <w:sz w:val="22"/>
          <w:szCs w:val="22"/>
        </w:rPr>
        <w:t>。</w:t>
      </w:r>
    </w:p>
    <w:p>
      <w:pPr>
        <w:numPr/>
        <w:pBdr/>
        <w:snapToGrid/>
        <w:spacing w:line="240"/>
        <w:ind w:left="440"/>
        <w:rPr>
          <w:color w:val="000000"/>
        </w:rPr>
      </w:pPr>
    </w:p>
    <w:p>
      <w:pPr>
        <w:numPr>
          <w:ilvl w:val="0"/>
          <w:numId w:val="1"/>
        </w:numPr>
        <w:pBdr/>
        <w:snapToGrid/>
        <w:spacing w:line="240" w:lineRule="auto"/>
        <w:ind/>
        <w:rPr>
          <w:b/>
          <w:color w:val="000000"/>
          <w:kern w:val="2"/>
          <w:sz w:val="24"/>
          <w:szCs w:val="22"/>
        </w:rPr>
      </w:pPr>
      <w:r>
        <w:rPr>
          <w:b/>
          <w:color w:val="000000"/>
          <w:kern w:val="2"/>
          <w:sz w:val="24"/>
          <w:szCs w:val="22"/>
        </w:rPr>
        <w:t>参赛要求</w:t>
      </w:r>
    </w:p>
    <w:p>
      <w:pPr>
        <w:numPr>
          <w:ilvl w:val="0"/>
          <w:numId w:val="6"/>
        </w:numPr>
        <w:pBdr/>
        <w:snapToGrid/>
        <w:spacing w:line="240"/>
        <w:ind/>
        <w:rPr>
          <w:color w:val="000000"/>
        </w:rPr>
      </w:pPr>
      <w:r>
        <w:rPr>
          <w:color w:val="000000"/>
        </w:rPr>
        <w:t>每个队伍每个赛季必须</w:t>
      </w:r>
      <w:r>
        <w:rPr>
          <w:b/>
          <w:color w:val="000000"/>
        </w:rPr>
        <w:t>至少</w:t>
      </w:r>
      <w:r>
        <w:rPr>
          <w:color w:val="000000"/>
        </w:rPr>
        <w:t>参加除CEIT决赛外的</w:t>
      </w:r>
      <w:r>
        <w:rPr>
          <w:b/>
          <w:color w:val="000000"/>
        </w:rPr>
        <w:t>两场</w:t>
      </w:r>
      <w:r>
        <w:rPr>
          <w:color w:val="000000"/>
        </w:rPr>
        <w:t>CEIT赛事（即CUCC，GCUC，LNO三场比赛中至少参加两场）。如果本赛季队伍参加比赛的数量未达要求的，会影响该队伍下赛季参加CEIT。</w:t>
      </w:r>
    </w:p>
    <w:p>
      <w:pPr>
        <w:numPr>
          <w:ilvl w:val="0"/>
          <w:numId w:val="6"/>
        </w:numPr>
        <w:pBdr/>
        <w:snapToGrid/>
        <w:spacing w:line="240"/>
        <w:ind/>
        <w:rPr>
          <w:color w:val="000000"/>
        </w:rPr>
      </w:pPr>
      <w:r>
        <w:rPr>
          <w:color w:val="000000"/>
        </w:rPr>
        <w:t>为了让赛事的报名和组织更加顺畅，CEIT队伍最晚需要在每个CEIT赛事日期的前一个月最终确认本队伍是</w:t>
      </w:r>
      <w:r>
        <w:rPr>
          <w:color w:val="000000"/>
        </w:rPr>
        <w:t>否参加该赛事，具体以CEIT委员会以及CEIT各赛事组织者的实时沟通为准。</w:t>
      </w:r>
    </w:p>
    <w:p>
      <w:pPr>
        <w:numPr>
          <w:ilvl w:val="0"/>
          <w:numId w:val="6"/>
        </w:numPr>
        <w:pBdr/>
        <w:snapToGrid/>
        <w:spacing w:line="240"/>
        <w:ind/>
        <w:rPr>
          <w:color w:val="000000"/>
        </w:rPr>
      </w:pPr>
      <w:r>
        <w:rPr>
          <w:color w:val="000000"/>
        </w:rPr>
        <w:t>CEIT的各赛事，各自独立运行。对于加入CEIT的赛事而言，其承诺会优先给予CEIT队伍参赛名额。在确认完CEIT队伍的参赛情况后，如仍有多余名额，CEIT赛事有权招募非CEIT队伍参与赛事，为保障赛事的流畅举办，我们希望各个CEIT队伍对于其做出的参赛承诺负责。对于</w:t>
      </w:r>
      <w:r>
        <w:rPr>
          <w:color w:val="000000"/>
        </w:rPr>
        <w:t>队伍</w:t>
      </w:r>
      <w:r>
        <w:rPr>
          <w:color w:val="000000"/>
        </w:rPr>
        <w:t>已经确认参赛的赛事，如无故临时退出，</w:t>
      </w:r>
      <w:r>
        <w:rPr>
          <w:color w:val="000000"/>
        </w:rPr>
        <w:t>则</w:t>
      </w:r>
      <w:r>
        <w:rPr>
          <w:color w:val="000000"/>
        </w:rPr>
        <w:t>会影响该队伍下赛季参加CEIT。</w:t>
      </w:r>
    </w:p>
    <w:p>
      <w:pPr>
        <w:pBdr/>
        <w:snapToGrid/>
        <w:spacing w:line="240"/>
        <w:ind w:left="0"/>
        <w:rPr>
          <w:color w:val="000000"/>
        </w:rPr>
      </w:pPr>
    </w:p>
    <w:p>
      <w:pPr>
        <w:numPr>
          <w:ilvl w:val="0"/>
          <w:numId w:val="1"/>
        </w:numPr>
        <w:pBdr/>
        <w:snapToGrid/>
        <w:spacing w:line="240" w:lineRule="auto"/>
        <w:ind/>
        <w:rPr>
          <w:b/>
          <w:color w:val="000000"/>
          <w:kern w:val="2"/>
          <w:sz w:val="24"/>
          <w:szCs w:val="22"/>
        </w:rPr>
      </w:pPr>
      <w:r>
        <w:rPr>
          <w:b/>
          <w:color w:val="000000"/>
          <w:kern w:val="2"/>
          <w:sz w:val="24"/>
          <w:szCs w:val="22"/>
        </w:rPr>
        <w:t>飞盘精神</w:t>
      </w:r>
    </w:p>
    <w:p>
      <w:pPr>
        <w:numPr>
          <w:ilvl w:val="0"/>
          <w:numId w:val="7"/>
        </w:numPr>
        <w:pBdr/>
        <w:snapToGrid/>
        <w:spacing w:line="240"/>
        <w:ind/>
        <w:rPr>
          <w:color w:val="000000"/>
        </w:rPr>
      </w:pPr>
      <w:r>
        <w:rPr>
          <w:color w:val="000000"/>
        </w:rPr>
        <w:t>飞盘精神是飞盘这项运动最核心和本质的特质。所有注册在CEIT队伍赛季名单里的选手应当完成WFDF规则认证考试。我们强烈推荐大家选择Advance版本。所有选手的规则认证证书应当于CEIT的第一站CUCC开赛前提交至CEIT，并且在本赛季CEIT赛事进行期间，选手应始终确保其规则认证证书的有效性。规则认证证书的具体提交方法以CEIT委员会的通知为准。</w:t>
      </w:r>
    </w:p>
    <w:p>
      <w:pPr>
        <w:numPr>
          <w:ilvl w:val="0"/>
          <w:numId w:val="7"/>
        </w:numPr>
        <w:pBdr>
          <w:bottom/>
        </w:pBdr>
        <w:snapToGrid/>
        <w:spacing w:line="240"/>
        <w:ind/>
        <w:rPr>
          <w:color w:val="000000"/>
        </w:rPr>
      </w:pPr>
      <w:r>
        <w:rPr>
          <w:color w:val="000000"/>
        </w:rPr>
        <w:t>CEIT高度重视对飞盘精神的贯彻和执行。在参加CEIT赛事期间，所有CEIT队伍应以高标准要求自己贯彻和推广飞盘精神。每场比赛结束后，应当自觉立即按照赛事规定的方式提交飞盘精神评分。</w:t>
      </w:r>
    </w:p>
    <w:p>
      <w:pPr>
        <w:numPr>
          <w:ilvl w:val="0"/>
          <w:numId w:val="7"/>
        </w:numPr>
        <w:pBdr/>
        <w:snapToGrid/>
        <w:spacing w:line="240"/>
        <w:ind/>
        <w:rPr>
          <w:b/>
          <w:color w:val="000000"/>
        </w:rPr>
      </w:pPr>
      <w:r>
        <w:rPr>
          <w:b/>
          <w:color w:val="000000"/>
        </w:rPr>
        <w:t>如任何一只CEIT队伍在参加CEIT赛事期间出现让CEIT委员会有充足理由相信该队伍的运行与飞盘精神背道而行的情况，包括但不限于多次获得异常低的飞盘精神分、屡次受到其他队伍有关飞盘精神的投诉等，CEIT委员会保留随时取消该队伍CEIT队伍的资格、以及禁止其被列为下一赛季CEIT队伍的权利。当然CEIT委员会会秉持公平公正公开的标准，在做出任何除名决定前，CEIT委员会必将全面了解相关情况，听取各方意见。</w:t>
      </w:r>
    </w:p>
    <w:p>
      <w:pPr>
        <w:pBdr>
          <w:bottom/>
        </w:pBdr>
        <w:snapToGrid/>
        <w:spacing w:line="240"/>
        <w:ind w:left="336"/>
        <w:rPr>
          <w:b/>
          <w:color w:val="000000"/>
        </w:rPr>
      </w:pPr>
    </w:p>
    <w:p>
      <w:pPr>
        <w:numPr>
          <w:ilvl w:val="0"/>
          <w:numId w:val="1"/>
        </w:numPr>
        <w:pBdr/>
        <w:snapToGrid/>
        <w:spacing w:line="240" w:lineRule="auto"/>
        <w:ind/>
        <w:rPr>
          <w:b/>
          <w:color w:val="000000"/>
          <w:kern w:val="2"/>
          <w:sz w:val="24"/>
          <w:szCs w:val="22"/>
        </w:rPr>
      </w:pPr>
      <w:r>
        <w:rPr>
          <w:b/>
          <w:color w:val="000000"/>
          <w:kern w:val="2"/>
          <w:sz w:val="24"/>
          <w:szCs w:val="22"/>
        </w:rPr>
        <w:t>积分</w:t>
      </w:r>
    </w:p>
    <w:p>
      <w:pPr>
        <w:pBdr>
          <w:bottom/>
        </w:pBdr>
        <w:snapToGrid/>
        <w:spacing w:line="240"/>
        <w:ind w:left="336"/>
        <w:rPr>
          <w:color w:val="000000"/>
        </w:rPr>
      </w:pPr>
      <w:r>
        <w:rPr>
          <w:color w:val="000000"/>
        </w:rPr>
        <w:t>CEIT采用Power Ranking, 有关Power Ranking的介绍，可以参考如下文章：</w:t>
      </w:r>
    </w:p>
    <w:p>
      <w:pPr>
        <w:pStyle w:val="ablt93"/>
        <w:pBdr/>
        <w:ind w:left="336"/>
        <w:rPr/>
      </w:pPr>
      <w:r>
        <w:rPr>
          <w:rStyle w:val="1n4hnu"/>
          <w:color/>
        </w:rPr>
        <w:fldChar w:fldCharType="begin"/>
      </w:r>
      <w:r>
        <w:rPr>
          <w:rStyle w:val="1n4hnu"/>
          <w:color/>
        </w:rPr>
        <w:instrText xml:space="preserve">HYPERLINK https://mp.weixin.qq.com/s/FE13IlrJbmo7d6X6K6wttg normalLink \tdkey swskwx \tdfe -10 \tdfn https%3A//mp.weixin.qq.com/s/FE13IlrJbmo7d6X6K6wttg \tdfu https://mp.weixin.qq.com/s/FE13IlrJbmo7d6X6K6wttg \tdlt inline </w:instrText>
      </w:r>
      <w:r>
        <w:rPr>
          <w:rStyle w:val="1n4hnu"/>
          <w:color/>
        </w:rPr>
        <w:fldChar w:fldCharType="separate"/>
      </w:r>
      <w:r>
        <w:rPr>
          <w:rStyle w:val="1n4hnu"/>
          <w:color/>
        </w:rPr>
        <w:t>https://mp.weixin.qq.com/s/FE13IlrJbmo7d6X6K6wttg</w:t>
      </w:r>
      <w:r>
        <w:rPr>
          <w:rStyle w:val="1n4hnu"/>
          <w:color/>
        </w:rPr>
        <w:fldChar w:fldCharType="end"/>
      </w:r>
    </w:p>
    <w:p>
      <w:pPr>
        <w:pStyle w:val="ablt93"/>
        <w:ind/>
        <w:jc w:val="right"/>
        <w:rPr/>
        <w:sectPr>
          <w:pgSz w:w="11905" w:h="16838"/>
          <w:pgMar w:top="1361" w:right="1417" w:bottom="1361" w:left="1417"/>
          <w:pgNumType/>
          <w:cols/>
          <w:docGrid w:type="lines" w:linePitch="398"/>
        </w:sectPr>
      </w:pPr>
    </w:p>
    <w:p>
      <w:pPr>
        <w:pBdr/>
        <w:snapToGrid/>
        <w:spacing w:line="240" w:lineRule="auto"/>
        <w:ind w:left="776"/>
        <w:jc w:val="center"/>
        <w:rPr>
          <w:i w:val="false"/>
          <w:strike w:val="false"/>
          <w:color w:val="000000"/>
          <w:spacing w:val="0"/>
          <w:u w:val="none"/>
        </w:rPr>
      </w:pPr>
    </w:p>
    <w:p>
      <w:pPr>
        <w:pBdr/>
        <w:snapToGrid/>
        <w:spacing w:line="240" w:lineRule="auto"/>
        <w:ind w:left="776"/>
        <w:jc w:val="center"/>
        <w:rPr>
          <w:i w:val="false"/>
          <w:strike w:val="false"/>
          <w:color w:val="000000"/>
          <w:spacing w:val="0"/>
          <w:u w:val="none"/>
        </w:rPr>
      </w:pPr>
    </w:p>
    <w:p>
      <w:pPr>
        <w:pBdr/>
        <w:snapToGrid/>
        <w:spacing w:line="240" w:lineRule="auto"/>
        <w:ind w:left="776"/>
        <w:jc w:val="center"/>
        <w:rPr>
          <w:i w:val="false"/>
          <w:strike w:val="false"/>
          <w:color w:val="000000"/>
          <w:spacing w:val="0"/>
          <w:u w:val="none"/>
        </w:rPr>
      </w:pPr>
    </w:p>
    <w:p>
      <w:pPr>
        <w:pBdr>
          <w:bottom/>
        </w:pBdr>
        <w:snapToGrid/>
        <w:spacing w:line="240" w:lineRule="auto"/>
        <w:ind w:left="776"/>
        <w:jc w:val="center"/>
        <w:rPr>
          <w:color w:val="000000"/>
        </w:rPr>
      </w:pPr>
      <w:r>
        <w:rPr>
          <w:i w:val="false"/>
          <w:strike w:val="false"/>
          <w:color w:val="000000"/>
          <w:spacing w:val="0"/>
          <w:u w:val="none"/>
        </w:rPr>
        <w:t>附件1《CEIT队伍名单注册指引》</w:t>
      </w:r>
    </w:p>
    <w:p>
      <w:pPr>
        <w:pStyle w:val="ablt93"/>
        <w:pBdr/>
        <w:ind/>
        <w:jc w:val="center"/>
        <w:rPr>
          <w:color w:val="000000"/>
        </w:rPr>
      </w:pPr>
    </w:p>
    <w:p>
      <w:pPr>
        <w:pStyle w:val="ablt93"/>
        <w:numPr>
          <w:ilvl w:val="0"/>
          <w:numId w:val="8"/>
        </w:numPr>
        <w:pBdr/>
        <w:ind/>
        <w:jc w:val="left"/>
        <w:rPr>
          <w:color w:val="000000"/>
        </w:rPr>
      </w:pPr>
      <w:r>
        <w:rPr>
          <w:color w:val="000000"/>
        </w:rPr>
        <w:t>名单注册渠道</w:t>
      </w:r>
    </w:p>
    <w:p>
      <w:pPr>
        <w:pStyle w:val="ablt93"/>
        <w:pBdr/>
        <w:ind w:left="336"/>
        <w:jc w:val="left"/>
        <w:rPr>
          <w:color w:val="000000"/>
        </w:rPr>
      </w:pPr>
      <w:r>
        <w:rPr>
          <w:color w:val="000000"/>
        </w:rPr>
        <w:t>CEIT队伍应前往CEIT的官方网站，按照下述流程完成名单注册。CEIT官网地址为：</w:t>
      </w:r>
      <w:r>
        <w:rPr>
          <w:rStyle w:val="1n4hnu"/>
          <w:color w:val="000000"/>
        </w:rPr>
        <w:fldChar w:fldCharType="begin"/>
      </w:r>
      <w:r>
        <w:rPr>
          <w:rStyle w:val="1n4hnu"/>
          <w:color w:val="000000"/>
        </w:rPr>
        <w:instrText xml:space="preserve">HYPERLINK https://ceit.co normalLink \tdkey nxa32u \tdfe -10 \tdfn https%3A//ceit.co \tdfu https://ceit.co \tdlt inline </w:instrText>
      </w:r>
      <w:r>
        <w:rPr>
          <w:rStyle w:val="1n4hnu"/>
          <w:color w:val="000000"/>
        </w:rPr>
        <w:fldChar w:fldCharType="separate"/>
      </w:r>
      <w:r>
        <w:rPr>
          <w:rStyle w:val="1n4hnu"/>
          <w:color w:val="000000"/>
        </w:rPr>
        <w:t>https://ceit.co</w:t>
      </w:r>
      <w:r>
        <w:rPr>
          <w:rStyle w:val="1n4hnu"/>
          <w:color w:val="000000"/>
        </w:rPr>
        <w:fldChar w:fldCharType="end"/>
      </w:r>
      <w:r>
        <w:rPr>
          <w:color w:val="000000"/>
        </w:rPr>
        <w:t xml:space="preserve"> </w:t>
      </w:r>
    </w:p>
    <w:p>
      <w:pPr>
        <w:pStyle w:val="ablt93"/>
        <w:pBdr/>
        <w:ind w:left="0"/>
        <w:jc w:val="left"/>
        <w:rPr>
          <w:color w:val="000000"/>
        </w:rPr>
      </w:pPr>
    </w:p>
    <w:p>
      <w:pPr>
        <w:pStyle w:val="ablt93"/>
        <w:numPr>
          <w:ilvl w:val="0"/>
          <w:numId w:val="8"/>
        </w:numPr>
        <w:pBdr>
          <w:bottom/>
        </w:pBdr>
        <w:ind/>
        <w:jc w:val="left"/>
        <w:rPr>
          <w:color w:val="000000"/>
        </w:rPr>
      </w:pPr>
      <w:r>
        <w:rPr>
          <w:color w:val="000000"/>
        </w:rPr>
        <w:t>注册流程</w:t>
      </w:r>
    </w:p>
    <w:p>
      <w:pPr>
        <w:pStyle w:val="ablt93"/>
        <w:pBdr/>
        <w:ind w:left="336"/>
        <w:jc w:val="left"/>
        <w:rPr>
          <w:color w:val="000000"/>
        </w:rPr>
      </w:pPr>
      <w:r>
        <w:rPr>
          <w:color w:val="000000"/>
        </w:rPr>
        <w:t>2.1 每个队伍指定一位选手负责创建队伍。各个队伍应当妥善保管其创建的帐号的名称和密码。</w:t>
      </w:r>
    </w:p>
    <w:p>
      <w:pPr>
        <w:pStyle w:val="ablt93"/>
        <w:pBdr/>
        <w:ind w:left="336"/>
        <w:jc w:val="left"/>
        <w:rPr>
          <w:color w:val="000000"/>
        </w:rPr>
      </w:pPr>
      <w:r>
        <w:rPr>
          <w:color w:val="000000"/>
        </w:rPr>
        <w:t>2.2每个队伍只需按照下述流程完成添加所有选手即可，选手本身不需进行额外的操作。</w:t>
      </w:r>
    </w:p>
    <w:p>
      <w:pPr>
        <w:pStyle w:val="ablt93"/>
        <w:numPr/>
        <w:pBdr>
          <w:bottom/>
        </w:pBdr>
        <w:ind w:left="336"/>
        <w:jc w:val="left"/>
        <w:rPr>
          <w:color w:val="000000"/>
        </w:rPr>
      </w:pPr>
      <w:r>
        <w:rPr>
          <w:color w:val="000000"/>
        </w:rPr>
        <w:t>2.3 具体流程：</w:t>
      </w:r>
    </w:p>
    <w:p>
      <w:pPr>
        <w:pStyle w:val="ablt93"/>
        <w:pBdr/>
        <w:ind w:left="336"/>
        <w:jc w:val="left"/>
        <w:rPr>
          <w:color w:val="000000"/>
        </w:rPr>
      </w:pPr>
      <w:r>
        <w:rPr>
          <w:color w:val="000000"/>
        </w:rPr>
        <w:drawing>
          <wp:inline distT="0" distB="0" distL="0" distR="0">
            <wp:extent cx="4098382" cy="5512110"/>
            <wp:effectExtent l="0" t="0" r="0" b="0"/>
            <wp:docPr id="2" name="picture" descr="descript"/>
            <wp:cNvGraphicFramePr/>
            <a:graphic>
              <a:graphicData uri="http://schemas.openxmlformats.org/drawingml/2006/picture">
                <pic:pic>
                  <pic:nvPicPr>
                    <pic:cNvPr id="3" name="picture" descr="descript"/>
                    <pic:cNvPicPr/>
                  </pic:nvPicPr>
                  <pic:blipFill rotWithShape="true">
                    <a:blip r:embed="rId4"/>
                    <a:srcRect l="0" t="0" r="0" b="0"/>
                    <a:stretch/>
                  </pic:blipFill>
                  <pic:spPr>
                    <a:xfrm rot="0">
                      <a:off x="0" y="0"/>
                      <a:ext cx="4098382" cy="5512110"/>
                    </a:xfrm>
                    <a:prstGeom prst="rect">
                      <a:avLst/>
                    </a:prstGeom>
                    <a:ln/>
                  </pic:spPr>
                </pic:pic>
              </a:graphicData>
            </a:graphic>
          </wp:inline>
        </w:drawing>
      </w:r>
    </w:p>
    <w:p>
      <w:pPr>
        <w:pStyle w:val="ablt93"/>
        <w:pBdr/>
        <w:ind w:left="0"/>
        <w:jc w:val="left"/>
        <w:rPr>
          <w:color w:val="000000"/>
        </w:rPr>
      </w:pPr>
    </w:p>
    <w:p>
      <w:pPr>
        <w:pStyle w:val="ablt93"/>
        <w:pBdr>
          <w:bottom/>
        </w:pBdr>
        <w:ind w:left="336"/>
        <w:jc w:val="left"/>
        <w:rPr/>
      </w:pPr>
      <w:r>
        <w:rPr>
          <w:color w:val="000000"/>
        </w:rPr>
        <w:drawing>
          <wp:inline distT="0" distB="0" distL="0" distR="0">
            <wp:extent cx="3941192" cy="6711050"/>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5"/>
                    <a:srcRect l="0" t="0" r="0" b="0"/>
                    <a:stretch/>
                  </pic:blipFill>
                  <pic:spPr>
                    <a:xfrm rot="0">
                      <a:off x="0" y="0"/>
                      <a:ext cx="3941192" cy="6711050"/>
                    </a:xfrm>
                    <a:prstGeom prst="rect">
                      <a:avLst/>
                    </a:prstGeom>
                  </pic:spPr>
                </pic:pic>
              </a:graphicData>
            </a:graphic>
          </wp:inline>
        </w:drawing>
      </w:r>
      <w:r>
        <w:rPr/>
        <w:drawing>
          <wp:inline distT="0" distB="0" distL="0" distR="0">
            <wp:extent cx="5546725" cy="7214044"/>
            <wp:effectExtent l="0" t="0" r="0" b="0"/>
            <wp:docPr id="8" name="picture" descr="descript"/>
            <wp:cNvGraphicFramePr/>
            <a:graphic>
              <a:graphicData uri="http://schemas.openxmlformats.org/drawingml/2006/picture">
                <pic:pic>
                  <pic:nvPicPr>
                    <pic:cNvPr id="9" name="picture" descr="descript"/>
                    <pic:cNvPicPr/>
                  </pic:nvPicPr>
                  <pic:blipFill rotWithShape="true">
                    <a:blip r:embed="rId6"/>
                    <a:stretch/>
                  </pic:blipFill>
                  <pic:spPr>
                    <a:xfrm>
                      <a:off x="0" y="0"/>
                      <a:ext cx="5546725" cy="7214044"/>
                    </a:xfrm>
                    <a:prstGeom prst="rect">
                      <a:avLst/>
                    </a:prstGeom>
                  </pic:spPr>
                </pic:pic>
              </a:graphicData>
            </a:graphic>
          </wp:inline>
        </w:drawing>
      </w:r>
    </w:p>
    <w:sectPr>
      <w:pgSz w:w="11905" w:h="16838"/>
      <w:pgMar w:top="1361" w:right="1417" w:bottom="1361" w:left="1417"/>
      <w:docGrid w:type="lines" w:linePitch="398"/>
    </w:sectPr>
  </w:body>
</w:document>
</file>

<file path=word/fontTable.xml><?xml version="1.0" encoding="utf-8"?>
<w:fonts xmlns:w="http://schemas.openxmlformats.org/wordprocessingml/2006/main"/>
</file>

<file path=word/numbering.xml><?xml version="1.0" encoding="utf-8"?>
<w:numbering xmlns:w="http://schemas.openxmlformats.org/wordprocessingml/2006/main">
  <w:abstractNum w:abstractNumId="1">
    <w:lvl w:ilvl="3">
      <w:start w:val="1"/>
      <w:numFmt w:val="decimal"/>
      <w:lvlText w:val="%4."/>
      <w:lvlJc w:val="left"/>
      <w:pPr>
        <w:ind w:left="1656" w:hanging="336"/>
      </w:pPr>
      <w:rPr>
        <w:rFonts/>
      </w:rPr>
    </w:lvl>
    <w:lvl w:ilvl="2">
      <w:start w:val="1"/>
      <w:numFmt w:val="lowerRoman"/>
      <w:lvlText w:val="%3."/>
      <w:lvlJc w:val="left"/>
      <w:pPr>
        <w:ind w:left="1216" w:hanging="336"/>
      </w:pPr>
      <w:rPr>
        <w:rFonts/>
      </w:rPr>
    </w:lvl>
    <w:lvl w:ilvl="6">
      <w:start w:val="1"/>
      <w:numFmt w:val="decimal"/>
      <w:lvlText w:val="%7."/>
      <w:lvlJc w:val="left"/>
      <w:pPr>
        <w:ind w:left="2976" w:hanging="336"/>
      </w:pPr>
      <w:rPr>
        <w:rFonts/>
      </w:rPr>
    </w:lvl>
    <w:lvl w:ilvl="0">
      <w:start w:val="1"/>
      <w:numFmt w:val="decimal"/>
      <w:lvlText w:val="%1."/>
      <w:lvlJc w:val="left"/>
      <w:pPr>
        <w:ind w:left="336" w:hanging="336"/>
      </w:pPr>
      <w:rPr>
        <w:rFonts/>
      </w:rPr>
    </w:lvl>
    <w:lvl w:ilvl="7">
      <w:start w:val="1"/>
      <w:numFmt w:val="lowerLetter"/>
      <w:lvlText w:val="%8."/>
      <w:lvlJc w:val="left"/>
      <w:pPr>
        <w:ind w:left="3416" w:hanging="336"/>
      </w:pPr>
      <w:rPr>
        <w:rFonts/>
      </w:rPr>
    </w:lvl>
    <w:lvl w:ilvl="8">
      <w:start w:val="1"/>
      <w:numFmt w:val="lowerRoman"/>
      <w:lvlText w:val="%9."/>
      <w:lvlJc w:val="left"/>
      <w:pPr>
        <w:ind w:left="3856" w:hanging="336"/>
      </w:pPr>
      <w:rPr>
        <w:rFonts/>
      </w:rPr>
    </w:lvl>
    <w:lvl w:ilvl="5">
      <w:start w:val="1"/>
      <w:numFmt w:val="lowerRoman"/>
      <w:lvlText w:val="%6."/>
      <w:lvlJc w:val="left"/>
      <w:pPr>
        <w:ind w:left="2536" w:hanging="336"/>
      </w:pPr>
      <w:rPr>
        <w:rFonts/>
      </w:rPr>
    </w:lvl>
    <w:lvl w:ilvl="4">
      <w:start w:val="1"/>
      <w:numFmt w:val="lowerLetter"/>
      <w:lvlText w:val="%5."/>
      <w:lvlJc w:val="left"/>
      <w:pPr>
        <w:ind w:left="2096" w:hanging="336"/>
      </w:pPr>
      <w:rPr>
        <w:rFonts/>
      </w:rPr>
    </w:lvl>
    <w:lvl w:ilvl="1">
      <w:start w:val="1"/>
      <w:numFmt w:val="lowerLetter"/>
      <w:lvlText w:val="%2."/>
      <w:lvlJc w:val="left"/>
      <w:pPr>
        <w:ind w:left="776" w:hanging="336"/>
      </w:pPr>
      <w:rPr>
        <w:rFonts/>
      </w:rPr>
    </w:lvl>
  </w:abstractNum>
  <w:abstractNum w:abstractNumId="2">
    <w:lvl w:ilvl="8">
      <w:start w:val="1"/>
      <w:numFmt w:val="lowerRoman"/>
      <w:lvlText w:val="%9."/>
      <w:lvlJc w:val="left"/>
      <w:pPr>
        <w:ind w:left="3856" w:hanging="336"/>
      </w:pPr>
    </w:lvl>
    <w:lvl w:ilvl="1">
      <w:start w:val="1"/>
      <w:numFmt w:val="lowerLetter"/>
      <w:lvlText w:val="%2."/>
      <w:lvlJc w:val="left"/>
      <w:pPr>
        <w:ind w:left="776" w:hanging="336"/>
      </w:pPr>
    </w:lvl>
    <w:lvl w:ilvl="3">
      <w:start w:val="1"/>
      <w:numFmt w:val="decimal"/>
      <w:lvlText w:val="(%4)"/>
      <w:lvlJc w:val="left"/>
      <w:pPr>
        <w:ind w:left="1656" w:hanging="336"/>
      </w:pPr>
    </w:lvl>
    <w:lvl w:ilvl="4">
      <w:start w:val="1"/>
      <w:numFmt w:val="lowerLetter"/>
      <w:lvlText w:val="%5."/>
      <w:lvlJc w:val="left"/>
      <w:pPr>
        <w:ind w:left="2096" w:hanging="336"/>
      </w:pPr>
    </w:lvl>
    <w:lvl w:ilvl="6">
      <w:start w:val="1"/>
      <w:numFmt w:val="decimal"/>
      <w:lvlText w:val="(%7)"/>
      <w:lvlJc w:val="left"/>
      <w:pPr>
        <w:ind w:left="2976" w:hanging="336"/>
      </w:pPr>
    </w:lvl>
    <w:lvl w:ilvl="0">
      <w:start w:val="1"/>
      <w:numFmt w:val="decimal"/>
      <w:lvlText w:val="(%1)"/>
      <w:lvlJc w:val="left"/>
      <w:pPr>
        <w:ind w:left="336" w:hanging="336"/>
      </w:pPr>
      <w:rPr/>
    </w:lvl>
    <w:lvl w:ilvl="5">
      <w:start w:val="1"/>
      <w:numFmt w:val="lowerRoman"/>
      <w:lvlText w:val="%6."/>
      <w:lvlJc w:val="left"/>
      <w:pPr>
        <w:ind w:left="2536" w:hanging="336"/>
      </w:pPr>
    </w:lvl>
    <w:lvl w:ilvl="7">
      <w:start w:val="1"/>
      <w:numFmt w:val="lowerLetter"/>
      <w:lvlText w:val="%8."/>
      <w:lvlJc w:val="left"/>
      <w:pPr>
        <w:ind w:left="3416" w:hanging="336"/>
      </w:pPr>
    </w:lvl>
    <w:lvl w:ilvl="2">
      <w:start w:val="1"/>
      <w:numFmt w:val="lowerRoman"/>
      <w:lvlText w:val="%3."/>
      <w:lvlJc w:val="left"/>
      <w:pPr>
        <w:ind w:left="1216" w:hanging="336"/>
      </w:pPr>
    </w:lvl>
  </w:abstractNum>
  <w:abstractNum w:abstractNumId="3">
    <w:lvl w:ilvl="7">
      <w:start w:val="1"/>
      <w:numFmt w:val="lowerLetter"/>
      <w:lvlText w:val="%8."/>
      <w:lvlJc w:val="left"/>
      <w:pPr>
        <w:ind w:left="3416" w:hanging="336"/>
      </w:pPr>
    </w:lvl>
    <w:lvl w:ilvl="4">
      <w:start w:val="1"/>
      <w:numFmt w:val="lowerLetter"/>
      <w:lvlText w:val="%5."/>
      <w:lvlJc w:val="left"/>
      <w:pPr>
        <w:ind w:left="2096" w:hanging="336"/>
      </w:pPr>
    </w:lvl>
    <w:lvl w:ilvl="2">
      <w:start w:val="1"/>
      <w:numFmt w:val="lowerRoman"/>
      <w:lvlText w:val="%3."/>
      <w:lvlJc w:val="left"/>
      <w:pPr>
        <w:ind w:left="1216" w:hanging="336"/>
      </w:pPr>
    </w:lvl>
    <w:lvl w:ilvl="8">
      <w:start w:val="1"/>
      <w:numFmt w:val="lowerRoman"/>
      <w:lvlText w:val="%9."/>
      <w:lvlJc w:val="left"/>
      <w:pPr>
        <w:ind w:left="3856" w:hanging="336"/>
      </w:pPr>
    </w:lvl>
    <w:lvl w:ilvl="3">
      <w:start w:val="1"/>
      <w:numFmt w:val="decimal"/>
      <w:lvlText w:val="%4."/>
      <w:lvlJc w:val="left"/>
      <w:pPr>
        <w:ind w:left="1656" w:hanging="336"/>
      </w:pPr>
    </w:lvl>
    <w:lvl w:ilvl="6">
      <w:start w:val="1"/>
      <w:numFmt w:val="decimal"/>
      <w:lvlText w:val="%7."/>
      <w:lvlJc w:val="left"/>
      <w:pPr>
        <w:ind w:left="2976" w:hanging="336"/>
      </w:pPr>
    </w:lvl>
    <w:lvl w:ilvl="5">
      <w:start w:val="1"/>
      <w:numFmt w:val="lowerRoman"/>
      <w:lvlText w:val="%6."/>
      <w:lvlJc w:val="left"/>
      <w:pPr>
        <w:ind w:left="2536" w:hanging="336"/>
      </w:pPr>
    </w:lvl>
    <w:lvl w:ilvl="0">
      <w:start w:val="1"/>
      <w:numFmt w:val="decimal"/>
      <w:lvlText w:val="%1."/>
      <w:lvlJc w:val="left"/>
      <w:pPr>
        <w:ind w:left="336" w:hanging="336"/>
      </w:pPr>
      <w:rPr/>
    </w:lvl>
    <w:lvl w:ilvl="1">
      <w:start w:val="1"/>
      <w:numFmt w:val="lowerLetter"/>
      <w:lvlText w:val="%2."/>
      <w:lvlJc w:val="left"/>
      <w:pPr>
        <w:ind w:left="776" w:hanging="336"/>
      </w:pPr>
    </w:lvl>
  </w:abstractNum>
  <w:abstractNum w:abstractNumId="4">
    <w:lvl w:ilvl="0">
      <w:start w:val="1"/>
      <w:numFmt w:val="bullet"/>
      <w:lvlText w:val=""/>
      <w:lvlJc w:val="left"/>
      <w:pPr>
        <w:ind w:left="1112" w:hanging="336"/>
      </w:pPr>
      <w:rPr>
        <w:rFonts w:hint="default" w:ascii="wingdings" w:hAnsi="wingdings" w:eastAsia="wingdings" w:cs="wingdings"/>
        <w:u/>
      </w:rPr>
    </w:lvl>
    <w:lvl w:ilvl="3">
      <w:start w:val="1"/>
      <w:numFmt w:val="bullet"/>
      <w:lvlText w:val=""/>
      <w:pPr>
        <w:ind w:left="2432" w:hanging="336"/>
      </w:pPr>
      <w:rPr>
        <w:rFonts w:hint="default" w:ascii="wingdings" w:hAnsi="wingdings" w:eastAsia="wingdings" w:cs="wingdings"/>
      </w:rPr>
    </w:lvl>
    <w:lvl w:ilvl="4">
      <w:start w:val="1"/>
      <w:numFmt w:val="bullet"/>
      <w:lvlText w:val="¡"/>
      <w:pPr>
        <w:ind w:left="2872" w:hanging="336"/>
      </w:pPr>
      <w:rPr>
        <w:rFonts w:hint="default" w:ascii="wingdings" w:hAnsi="wingdings" w:eastAsia="wingdings" w:cs="wingdings"/>
      </w:rPr>
    </w:lvl>
    <w:lvl w:ilvl="2">
      <w:start w:val="1"/>
      <w:numFmt w:val="bullet"/>
      <w:lvlText w:val=""/>
      <w:lvlJc w:val="left"/>
      <w:pPr>
        <w:ind w:left="1992" w:hanging="336"/>
      </w:pPr>
      <w:rPr>
        <w:rFonts w:hint="default" w:ascii="wingdings" w:hAnsi="wingdings" w:eastAsia="wingdings" w:cs="wingdings"/>
      </w:rPr>
    </w:lvl>
    <w:lvl w:ilvl="6">
      <w:start w:val="1"/>
      <w:numFmt w:val="bullet"/>
      <w:lvlText w:val=""/>
      <w:pPr>
        <w:ind w:left="3752" w:hanging="336"/>
      </w:pPr>
      <w:rPr>
        <w:rFonts w:hint="default" w:ascii="wingdings" w:hAnsi="wingdings" w:eastAsia="wingdings" w:cs="wingdings"/>
      </w:rPr>
    </w:lvl>
    <w:lvl w:ilvl="5">
      <w:start w:val="1"/>
      <w:numFmt w:val="bullet"/>
      <w:lvlText w:val=""/>
      <w:pPr>
        <w:ind w:left="3312" w:hanging="336"/>
      </w:pPr>
      <w:rPr>
        <w:rFonts w:hint="default" w:ascii="wingdings" w:hAnsi="wingdings" w:eastAsia="wingdings" w:cs="wingdings"/>
      </w:rPr>
    </w:lvl>
    <w:lvl w:ilvl="7">
      <w:start w:val="1"/>
      <w:numFmt w:val="bullet"/>
      <w:lvlText w:val="¡"/>
      <w:pPr>
        <w:ind w:left="4192" w:hanging="336"/>
      </w:pPr>
      <w:rPr>
        <w:rFonts w:hint="default" w:ascii="wingdings" w:hAnsi="wingdings" w:eastAsia="wingdings" w:cs="wingdings"/>
      </w:rPr>
    </w:lvl>
    <w:lvl w:ilvl="1">
      <w:start w:val="1"/>
      <w:numFmt w:val="bullet"/>
      <w:lvlText w:val="¡"/>
      <w:lvlJc w:val="left"/>
      <w:pPr>
        <w:ind w:left="1552" w:hanging="336"/>
      </w:pPr>
      <w:rPr>
        <w:rFonts w:hint="default" w:ascii="wingdings" w:hAnsi="wingdings" w:eastAsia="wingdings" w:cs="wingdings"/>
      </w:rPr>
    </w:lvl>
    <w:lvl w:ilvl="8">
      <w:start w:val="1"/>
      <w:numFmt w:val="bullet"/>
      <w:lvlText w:val=""/>
      <w:pPr>
        <w:ind w:left="4632" w:hanging="336"/>
      </w:pPr>
      <w:rPr>
        <w:rFonts w:hint="default" w:ascii="wingdings" w:hAnsi="wingdings" w:eastAsia="wingdings" w:cs="wingdings"/>
      </w:rPr>
    </w:lvl>
  </w:abstractNum>
  <w:abstractNum w:abstractNumId="5">
    <w:lvl w:ilvl="6">
      <w:start w:val="1"/>
      <w:numFmt w:val="bullet"/>
      <w:lvlText w:val=""/>
      <w:pPr>
        <w:ind w:left="3416" w:hanging="336"/>
      </w:pPr>
      <w:rPr>
        <w:rFonts w:hint="default" w:ascii="wingdings" w:hAnsi="wingdings" w:eastAsia="wingdings" w:cs="wingdings"/>
      </w:rPr>
    </w:lvl>
    <w:lvl w:ilvl="8">
      <w:start w:val="1"/>
      <w:numFmt w:val="bullet"/>
      <w:lvlText w:val=""/>
      <w:pPr>
        <w:ind w:left="4296" w:hanging="336"/>
      </w:pPr>
      <w:rPr>
        <w:rFonts w:hint="default" w:ascii="wingdings" w:hAnsi="wingdings" w:eastAsia="wingdings" w:cs="wingdings"/>
      </w:rPr>
    </w:lvl>
    <w:lvl w:ilvl="4">
      <w:start w:val="1"/>
      <w:numFmt w:val="bullet"/>
      <w:lvlText w:val="¡"/>
      <w:pPr>
        <w:ind w:left="2536" w:hanging="336"/>
      </w:pPr>
      <w:rPr>
        <w:rFonts w:hint="default" w:ascii="wingdings" w:hAnsi="wingdings" w:eastAsia="wingdings" w:cs="wingdings"/>
      </w:rPr>
    </w:lvl>
    <w:lvl w:ilvl="0">
      <w:start w:val="1"/>
      <w:numFmt w:val="bullet"/>
      <w:lvlText w:val=""/>
      <w:lvlJc w:val="left"/>
      <w:pPr>
        <w:ind w:left="776" w:hanging="336"/>
      </w:pPr>
      <w:rPr>
        <w:rFonts w:hint="default" w:ascii="wingdings" w:hAnsi="wingdings" w:eastAsia="wingdings" w:cs="wingdings"/>
        <w:u/>
      </w:rPr>
    </w:lvl>
    <w:lvl w:ilvl="1">
      <w:start w:val="1"/>
      <w:numFmt w:val="bullet"/>
      <w:lvlText w:val="¡"/>
      <w:lvlJc w:val="left"/>
      <w:pPr>
        <w:ind w:left="1216" w:hanging="336"/>
      </w:pPr>
      <w:rPr>
        <w:rFonts w:hint="default" w:ascii="wingdings" w:hAnsi="wingdings" w:eastAsia="wingdings" w:cs="wingdings"/>
      </w:rPr>
    </w:lvl>
    <w:lvl w:ilvl="7">
      <w:start w:val="1"/>
      <w:numFmt w:val="bullet"/>
      <w:lvlText w:val="¡"/>
      <w:pPr>
        <w:ind w:left="3856" w:hanging="336"/>
      </w:pPr>
      <w:rPr>
        <w:rFonts w:hint="default" w:ascii="wingdings" w:hAnsi="wingdings" w:eastAsia="wingdings" w:cs="wingdings"/>
      </w:rPr>
    </w:lvl>
    <w:lvl w:ilvl="3">
      <w:start w:val="1"/>
      <w:numFmt w:val="bullet"/>
      <w:lvlText w:val=""/>
      <w:pPr>
        <w:ind w:left="2096" w:hanging="336"/>
      </w:pPr>
      <w:rPr>
        <w:rFonts w:hint="default" w:ascii="wingdings" w:hAnsi="wingdings" w:eastAsia="wingdings" w:cs="wingdings"/>
      </w:rPr>
    </w:lvl>
    <w:lvl w:ilvl="2">
      <w:start w:val="1"/>
      <w:numFmt w:val="bullet"/>
      <w:lvlText w:val=""/>
      <w:lvlJc w:val="left"/>
      <w:pPr>
        <w:ind w:left="1656" w:hanging="336"/>
      </w:pPr>
      <w:rPr>
        <w:rFonts w:hint="default" w:ascii="wingdings" w:hAnsi="wingdings" w:eastAsia="wingdings" w:cs="wingdings"/>
      </w:rPr>
    </w:lvl>
    <w:lvl w:ilvl="5">
      <w:start w:val="1"/>
      <w:numFmt w:val="bullet"/>
      <w:lvlText w:val=""/>
      <w:pPr>
        <w:ind w:left="2976" w:hanging="336"/>
      </w:pPr>
      <w:rPr>
        <w:rFonts w:hint="default" w:ascii="wingdings" w:hAnsi="wingdings" w:eastAsia="wingdings" w:cs="wingdings"/>
      </w:rPr>
    </w:lvl>
  </w:abstractNum>
  <w:abstractNum w:abstractNumId="6">
    <w:lvl w:ilvl="6">
      <w:start w:val="1"/>
      <w:numFmt w:val="bullet"/>
      <w:lvlText w:val=""/>
      <w:pPr>
        <w:ind w:left="3856" w:hanging="336"/>
      </w:pPr>
      <w:rPr>
        <w:rFonts w:hint="default" w:ascii="wingdings" w:hAnsi="wingdings" w:eastAsia="wingdings" w:cs="wingdings"/>
      </w:rPr>
    </w:lvl>
    <w:lvl w:ilvl="5">
      <w:start w:val="1"/>
      <w:numFmt w:val="bullet"/>
      <w:lvlText w:val=""/>
      <w:pPr>
        <w:ind w:left="3416" w:hanging="336"/>
      </w:pPr>
      <w:rPr>
        <w:rFonts w:hint="default" w:ascii="wingdings" w:hAnsi="wingdings" w:eastAsia="wingdings" w:cs="wingdings"/>
      </w:rPr>
    </w:lvl>
    <w:lvl w:ilvl="3">
      <w:start w:val="1"/>
      <w:numFmt w:val="bullet"/>
      <w:lvlText w:val=""/>
      <w:pPr>
        <w:ind w:left="2536" w:hanging="336"/>
      </w:pPr>
      <w:rPr>
        <w:rFonts w:hint="default" w:ascii="wingdings" w:hAnsi="wingdings" w:eastAsia="wingdings" w:cs="wingdings"/>
      </w:rPr>
    </w:lvl>
    <w:lvl w:ilvl="4">
      <w:start w:val="1"/>
      <w:numFmt w:val="bullet"/>
      <w:lvlText w:val="¡"/>
      <w:pPr>
        <w:ind w:left="2976" w:hanging="336"/>
      </w:pPr>
      <w:rPr>
        <w:rFonts w:hint="default" w:ascii="wingdings" w:hAnsi="wingdings" w:eastAsia="wingdings" w:cs="wingdings"/>
      </w:rPr>
    </w:lvl>
    <w:lvl w:ilvl="7">
      <w:start w:val="1"/>
      <w:numFmt w:val="bullet"/>
      <w:lvlText w:val="¡"/>
      <w:pPr>
        <w:ind w:left="4296" w:hanging="336"/>
      </w:pPr>
      <w:rPr>
        <w:rFonts w:hint="default" w:ascii="wingdings" w:hAnsi="wingdings" w:eastAsia="wingdings" w:cs="wingdings"/>
      </w:rPr>
    </w:lvl>
    <w:lvl w:ilvl="8">
      <w:start w:val="1"/>
      <w:numFmt w:val="bullet"/>
      <w:lvlText w:val=""/>
      <w:pPr>
        <w:ind w:left="4736" w:hanging="336"/>
      </w:pPr>
      <w:rPr>
        <w:rFonts w:hint="default" w:ascii="wingdings" w:hAnsi="wingdings" w:eastAsia="wingdings" w:cs="wingdings"/>
      </w:rPr>
    </w:lvl>
    <w:lvl w:ilvl="0">
      <w:start w:val="1"/>
      <w:numFmt w:val="bullet"/>
      <w:lvlText w:val=""/>
      <w:lvlJc w:val="left"/>
      <w:pPr>
        <w:ind w:left="1216" w:hanging="336"/>
      </w:pPr>
      <w:rPr>
        <w:rFonts w:hint="default" w:ascii="wingdings" w:hAnsi="wingdings" w:eastAsia="wingdings" w:cs="wingdings"/>
        <w:u/>
      </w:rPr>
    </w:lvl>
    <w:lvl w:ilvl="1">
      <w:start w:val="1"/>
      <w:numFmt w:val="bullet"/>
      <w:lvlText w:val="¡"/>
      <w:lvlJc w:val="left"/>
      <w:pPr>
        <w:ind w:left="1656" w:hanging="336"/>
      </w:pPr>
      <w:rPr>
        <w:rFonts w:hint="default" w:ascii="wingdings" w:hAnsi="wingdings" w:eastAsia="wingdings" w:cs="wingdings"/>
      </w:rPr>
    </w:lvl>
    <w:lvl w:ilvl="2">
      <w:start w:val="1"/>
      <w:numFmt w:val="bullet"/>
      <w:lvlText w:val=""/>
      <w:lvlJc w:val="left"/>
      <w:pPr>
        <w:ind w:left="2096" w:hanging="336"/>
      </w:pPr>
      <w:rPr>
        <w:rFonts w:hint="default" w:ascii="wingdings" w:hAnsi="wingdings" w:eastAsia="wingdings" w:cs="wingdings"/>
      </w:rPr>
    </w:lvl>
  </w:abstractNum>
  <w:abstractNum w:abstractNumId="7">
    <w:lvl w:ilvl="3">
      <w:start w:val="1"/>
      <w:numFmt w:val="bullet"/>
      <w:lvlText w:val=""/>
      <w:pPr>
        <w:ind w:left="1656" w:hanging="336"/>
      </w:pPr>
      <w:rPr>
        <w:rFonts w:hint="default" w:ascii="wingdings" w:hAnsi="wingdings" w:eastAsia="wingdings" w:cs="wingdings"/>
      </w:rPr>
    </w:lvl>
    <w:lvl w:ilvl="5">
      <w:start w:val="1"/>
      <w:numFmt w:val="bullet"/>
      <w:lvlText w:val=""/>
      <w:pPr>
        <w:ind w:left="2536" w:hanging="336"/>
      </w:pPr>
      <w:rPr>
        <w:rFonts w:hint="default" w:ascii="wingdings" w:hAnsi="wingdings" w:eastAsia="wingdings" w:cs="wingdings"/>
      </w:rPr>
    </w:lvl>
    <w:lvl w:ilvl="2">
      <w:start w:val="1"/>
      <w:numFmt w:val="bullet"/>
      <w:lvlText w:val=""/>
      <w:lvlJc w:val="left"/>
      <w:pPr>
        <w:ind w:left="1216" w:hanging="336"/>
      </w:pPr>
      <w:rPr>
        <w:rFonts w:hint="default" w:ascii="wingdings" w:hAnsi="wingdings" w:eastAsia="wingdings" w:cs="wingdings"/>
      </w:rPr>
    </w:lvl>
    <w:lvl w:ilvl="8">
      <w:start w:val="1"/>
      <w:numFmt w:val="bullet"/>
      <w:lvlText w:val=""/>
      <w:pPr>
        <w:ind w:left="3856" w:hanging="336"/>
      </w:pPr>
      <w:rPr>
        <w:rFonts w:hint="default" w:ascii="wingdings" w:hAnsi="wingdings" w:eastAsia="wingdings" w:cs="wingdings"/>
      </w:rPr>
    </w:lvl>
    <w:lvl w:ilvl="6">
      <w:start w:val="1"/>
      <w:numFmt w:val="bullet"/>
      <w:lvlText w:val=""/>
      <w:pPr>
        <w:ind w:left="2976" w:hanging="336"/>
      </w:pPr>
      <w:rPr>
        <w:rFonts w:hint="default" w:ascii="wingdings" w:hAnsi="wingdings" w:eastAsia="wingdings" w:cs="wingdings"/>
      </w:rPr>
    </w:lvl>
    <w:lvl w:ilvl="0">
      <w:start w:val="1"/>
      <w:numFmt w:val="bullet"/>
      <w:lvlText w:val=""/>
      <w:lvlJc w:val="left"/>
      <w:pPr>
        <w:ind w:left="336" w:hanging="336"/>
      </w:pPr>
      <w:rPr>
        <w:rFonts w:hint="default" w:ascii="wingdings" w:hAnsi="wingdings" w:eastAsia="wingdings" w:cs="wingdings"/>
        <w:u/>
      </w:rPr>
    </w:lvl>
    <w:lvl w:ilvl="4">
      <w:start w:val="1"/>
      <w:numFmt w:val="bullet"/>
      <w:lvlText w:val="¡"/>
      <w:pPr>
        <w:ind w:left="2096" w:hanging="336"/>
      </w:pPr>
      <w:rPr>
        <w:rFonts w:hint="default" w:ascii="wingdings" w:hAnsi="wingdings" w:eastAsia="wingdings" w:cs="wingdings"/>
      </w:rPr>
    </w:lvl>
    <w:lvl w:ilvl="1">
      <w:start w:val="1"/>
      <w:numFmt w:val="bullet"/>
      <w:lvlText w:val="¡"/>
      <w:lvlJc w:val="left"/>
      <w:pPr>
        <w:ind w:left="776" w:hanging="336"/>
      </w:pPr>
      <w:rPr>
        <w:rFonts w:hint="default" w:ascii="wingdings" w:hAnsi="wingdings" w:eastAsia="wingdings" w:cs="wingdings"/>
      </w:rPr>
    </w:lvl>
    <w:lvl w:ilvl="7">
      <w:start w:val="1"/>
      <w:numFmt w:val="bullet"/>
      <w:lvlText w:val="¡"/>
      <w:pPr>
        <w:ind w:left="3416" w:hanging="336"/>
      </w:pPr>
      <w:rPr>
        <w:rFonts w:hint="default" w:ascii="wingdings" w:hAnsi="wingdings" w:eastAsia="wingdings" w:cs="wingdings"/>
      </w:rPr>
    </w:lvl>
  </w:abstractNum>
  <w:abstractNum w:abstractNumId="8">
    <w:lvl w:ilvl="4">
      <w:start w:val="1"/>
      <w:numFmt w:val="lowerLetter"/>
      <w:lvlText w:val="%5."/>
      <w:lvlJc w:val="left"/>
      <w:pPr>
        <w:ind w:left="2096" w:hanging="336"/>
      </w:pPr>
      <w:rPr>
        <w:rFonts/>
      </w:rPr>
    </w:lvl>
    <w:lvl w:ilvl="8">
      <w:start w:val="1"/>
      <w:numFmt w:val="lowerRoman"/>
      <w:lvlText w:val="%9."/>
      <w:lvlJc w:val="left"/>
      <w:pPr>
        <w:ind w:left="3856" w:hanging="336"/>
      </w:pPr>
      <w:rPr>
        <w:rFonts/>
      </w:rPr>
    </w:lvl>
    <w:lvl w:ilvl="2">
      <w:start w:val="1"/>
      <w:numFmt w:val="lowerRoman"/>
      <w:lvlText w:val="%3."/>
      <w:lvlJc w:val="left"/>
      <w:pPr>
        <w:ind w:left="1216" w:hanging="336"/>
      </w:pPr>
      <w:rPr>
        <w:rFonts/>
      </w:rPr>
    </w:lvl>
    <w:lvl w:ilvl="6">
      <w:start w:val="1"/>
      <w:numFmt w:val="decimal"/>
      <w:lvlText w:val="(%7)"/>
      <w:lvlJc w:val="left"/>
      <w:pPr>
        <w:ind w:left="2976" w:hanging="336"/>
      </w:pPr>
      <w:rPr>
        <w:rFonts/>
      </w:rPr>
    </w:lvl>
    <w:lvl w:ilvl="7">
      <w:start w:val="1"/>
      <w:numFmt w:val="lowerLetter"/>
      <w:lvlText w:val="%8."/>
      <w:lvlJc w:val="left"/>
      <w:pPr>
        <w:ind w:left="3416" w:hanging="336"/>
      </w:pPr>
      <w:rPr>
        <w:rFonts/>
      </w:rPr>
    </w:lvl>
    <w:lvl w:ilvl="5">
      <w:start w:val="1"/>
      <w:numFmt w:val="lowerRoman"/>
      <w:lvlText w:val="%6."/>
      <w:lvlJc w:val="left"/>
      <w:pPr>
        <w:ind w:left="2536" w:hanging="336"/>
      </w:pPr>
      <w:rPr>
        <w:rFonts/>
      </w:rPr>
    </w:lvl>
    <w:lvl w:ilvl="0">
      <w:start w:val="1"/>
      <w:numFmt w:val="decimal"/>
      <w:lvlText w:val="(%1)"/>
      <w:lvlJc w:val="left"/>
      <w:pPr>
        <w:ind w:left="336" w:hanging="336"/>
      </w:pPr>
      <w:rPr>
        <w:rFonts/>
      </w:rPr>
    </w:lvl>
    <w:lvl w:ilvl="1">
      <w:start w:val="1"/>
      <w:numFmt w:val="lowerLetter"/>
      <w:lvlText w:val="%2."/>
      <w:lvlJc w:val="left"/>
      <w:pPr>
        <w:ind w:left="776" w:hanging="336"/>
      </w:pPr>
      <w:rPr>
        <w:rFonts/>
      </w:rPr>
    </w:lvl>
    <w:lvl w:ilvl="3">
      <w:start w:val="1"/>
      <w:numFmt w:val="decimal"/>
      <w:lvlText w:val="(%4)"/>
      <w:lvlJc w:val="left"/>
      <w:pPr>
        <w:ind w:left="1656" w:hanging="336"/>
      </w:pPr>
      <w:rPr>
        <w:rFonts/>
      </w:rPr>
    </w:lvl>
  </w:abstractNum>
  <w:num w:numId="4">
    <w:abstractNumId w:val="5"/>
  </w:num>
  <w:num w:numId="8">
    <w:abstractNumId w:val="3"/>
  </w:num>
  <w:num w:numId="5">
    <w:abstractNumId w:val="4"/>
  </w:num>
  <w:num w:numId="3">
    <w:abstractNumId w:val="6"/>
  </w:num>
  <w:num w:numId="6">
    <w:abstractNumId w:val="8"/>
  </w:num>
  <w:num w:numId="7">
    <w:abstractNumId w:val="2"/>
  </w:num>
  <w:num w:numId="1">
    <w:abstractNumId w:val="1"/>
  </w:num>
  <w:num w:numId="2">
    <w:abstractNumId w:val="7"/>
  </w:num>
</w:numbering>
</file>

<file path=word/settings.xml><?xml version="1.0" encoding="utf-8"?>
<w:settings xmlns:w14="http://schemas.microsoft.com/office/word/2010/wordml" xmlns:w15="http://schemas.microsoft.com/office/word/2012/wordml" xmlns:w="http://schemas.openxmlformats.org/wordprocessingml/2006/main" xmlns:m="http://schemas.openxmlformats.org/officeDocument/2006/math" xmlns:mc="http://schemas.openxmlformats.org/markup-compatibility/2006"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doNotLeaveBackslashAlone/>
    <w:ulTrailSpace/>
    <w:doNotExpandShiftReturn/>
    <w:adjustLineHeightInTable/>
    <w:useFELayout/>
    <w:compatSetting w:name="useWord2013TrackBottomHyphenation" w:uri="http://schemas.microsoft.com/office/word" w:val="0"/>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A0"/>
    <w:rsid w:val="00680AC3"/>
    <w:rsid w:val="007452DF"/>
    <w:rsid w:val="00E023A0"/>
  </w:rsids>
  <m:mathPr>
    <m:mathFont m:val="Cambria Math"/>
    <m:brkBin m:val="before"/>
    <m:brkBinSub m:val="--"/>
    <m:smallFrac m:val="false"/>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CB54FC"/>
  <w15:chartTrackingRefBased/>
  <w15:docId w15:val="{0549D595-5F3E-9A49-832F-E7DF37783478}"/>
</w:settings>
</file>

<file path=word/styles.xml><?xml version="1.0" encoding="utf-8"?>
<w:styles xmlns:w="http://schemas.openxmlformats.org/wordprocessingml/2006/main">
  <w:docDefaults>
    <w:rPrDefault>
      <w:rPr>
        <w:rFonts w:ascii="minorHAnsi" w:hAnsi="minorHAnsi" w:eastAsia="minorEastAsia" w:cstheme="minorBidi"/>
        <w:kern w:val="2"/>
        <w:sz w:val="21"/>
        <w:szCs w:val="22"/>
      </w:rPr>
    </w:rPrDefault>
    <w:pPrDefault>
      <w:pPr/>
    </w:pPrDefault>
  </w:docDefaults>
  <w:style w:type="character" w:styleId="1n4hnu">
    <w:name w:val="Hyperlink"/>
    <w:basedOn w:val="lu0hvz"/>
    <w:next w:val=""/>
    <w:uiPriority w:val="99"/>
    <w:unhideWhenUsed/>
    <w:rPr>
      <w:color w:val="1E6FFF" w:themeColor="hyperlink"/>
      <w:u w:val="single"/>
    </w:rPr>
  </w:style>
  <w:style w:type="character" w:styleId="lu0hvz" w:default="true">
    <w:name w:val="Default Paragraph Font"/>
    <w:basedOn w:val=""/>
    <w:next w:val=""/>
    <w:uiPriority w:val="1"/>
    <w:semiHidden/>
    <w:unhideWhenUsed/>
  </w:style>
  <w:style w:type="paragraph" w:styleId="ablt93" w:default="true">
    <w:name w:val="Normal"/>
    <w:pPr>
      <w:widowControl w:val="false"/>
      <w:spacing w:before="60" w:after="60" w:line="240" w:lineRule="auto"/>
      <w:jc w:val="left"/>
    </w:pPr>
    <w:rPr>
      <w:color w:val="333333"/>
      <w:sz w:val="22"/>
    </w:rPr>
  </w:style>
  <w:style w:type="paragraph" w:styleId="rdbvau">
    <w:name w:val="Title"/>
    <w:basedOn w:val="ablt93"/>
    <w:next w:val="ablt93"/>
    <w:uiPriority w:val="9"/>
    <w:qFormat/>
    <w:pPr>
      <w:keepNext/>
      <w:keepLines/>
      <w:spacing w:before="0" w:after="0" w:line="408" w:lineRule="auto"/>
      <w:jc w:val="center"/>
      <w:outlineLvl w:val="0"/>
    </w:pPr>
    <w:rPr>
      <w:b/>
      <w:bCs/>
      <w:color w:val="1A1A1A"/>
      <w:sz w:val="48"/>
      <w:szCs w:val="48"/>
    </w:rPr>
  </w:style>
</w:styles>
</file>

<file path=word/_rels/document.xml.rels><?xml version="1.0" encoding="UTF-8" standalone="yes"?><Relationships xmlns="http://schemas.openxmlformats.org/package/2006/relationships"><Relationship Id="rId6" Type="http://schemas.openxmlformats.org/officeDocument/2006/relationships/image" Target="media/image3.png" /><Relationship Id="rId5" Type="http://schemas.openxmlformats.org/officeDocument/2006/relationships/image" Target="media/image2.png" /><Relationship Id="rId0" Type="http://schemas.openxmlformats.org/officeDocument/2006/relationships/styles" Target="styles.xml" /><Relationship Id="rId3" Type="http://schemas.openxmlformats.org/officeDocument/2006/relationships/numbering" Target="numbering.xml" /><Relationship Id="rId1" Type="http://schemas.openxmlformats.org/officeDocument/2006/relationships/settings" Target="settings.xml" /><Relationship Id="rId2" Type="http://schemas.openxmlformats.org/officeDocument/2006/relationships/fontTable" Target="fontTable.xml" /><Relationship Id="rId4" Type="http://schemas.openxmlformats.org/officeDocument/2006/relationships/image" Target="media/image1.png"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2025-08-05T18:10:44Z</dcterms:created>
  <dcterms:modified xsi:type="dcterms:W3CDTF">2025-08-05T18:10:44Z</dcterms:modified>
</cp:coreProperties>
</file>